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696A" w14:textId="77777777" w:rsidR="00B913E0" w:rsidRDefault="00B913E0" w:rsidP="00AD285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 w:rsidRPr="00ED7F8A">
        <w:rPr>
          <w:rFonts w:ascii="Arial,Bold" w:hAnsi="Arial,Bold" w:cs="Arial,Bold"/>
          <w:b/>
          <w:bCs/>
        </w:rPr>
        <w:t>GUIDELINES FOR COMPENSATION FOR</w:t>
      </w:r>
      <w:r w:rsidR="00ED7F8A">
        <w:rPr>
          <w:rFonts w:ascii="Arial,Bold" w:hAnsi="Arial,Bold" w:cs="Arial,Bold"/>
          <w:b/>
          <w:bCs/>
        </w:rPr>
        <w:t xml:space="preserve"> </w:t>
      </w:r>
      <w:r w:rsidRPr="00ED7F8A">
        <w:rPr>
          <w:rFonts w:ascii="Arial,Bold" w:hAnsi="Arial,Bold" w:cs="Arial,Bold"/>
          <w:b/>
          <w:bCs/>
        </w:rPr>
        <w:t>INJURY RESULTING FROM PARTICIPATION IN A COMPANY</w:t>
      </w:r>
      <w:r w:rsidR="00D12653">
        <w:rPr>
          <w:rFonts w:ascii="Arial,Bold" w:hAnsi="Arial,Bold" w:cs="Arial,Bold"/>
          <w:b/>
          <w:bCs/>
        </w:rPr>
        <w:t xml:space="preserve"> </w:t>
      </w:r>
      <w:r w:rsidRPr="00ED7F8A">
        <w:rPr>
          <w:rFonts w:ascii="Arial,Bold" w:hAnsi="Arial,Bold" w:cs="Arial,Bold"/>
          <w:b/>
          <w:bCs/>
        </w:rPr>
        <w:t>SPONSORED</w:t>
      </w:r>
      <w:r w:rsidR="00ED7F8A">
        <w:rPr>
          <w:rFonts w:ascii="Arial,Bold" w:hAnsi="Arial,Bold" w:cs="Arial,Bold"/>
          <w:b/>
          <w:bCs/>
        </w:rPr>
        <w:t xml:space="preserve"> </w:t>
      </w:r>
      <w:r w:rsidRPr="00ED7F8A">
        <w:rPr>
          <w:rFonts w:ascii="Arial,Bold" w:hAnsi="Arial,Bold" w:cs="Arial,Bold"/>
          <w:b/>
          <w:bCs/>
        </w:rPr>
        <w:t xml:space="preserve">CLINICAL </w:t>
      </w:r>
      <w:r w:rsidR="00ED7F8A">
        <w:rPr>
          <w:rFonts w:ascii="Arial,Bold" w:hAnsi="Arial,Bold" w:cs="Arial,Bold"/>
          <w:b/>
          <w:bCs/>
        </w:rPr>
        <w:t>INVESTIGATION</w:t>
      </w:r>
    </w:p>
    <w:p w14:paraId="28FCE219" w14:textId="77777777" w:rsidR="00ED7F8A" w:rsidRPr="00ED7F8A" w:rsidRDefault="00ED7F8A" w:rsidP="00AD285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</w:p>
    <w:p w14:paraId="087AA3B7" w14:textId="77777777" w:rsidR="00B913E0" w:rsidRPr="00D12653" w:rsidRDefault="00B913E0" w:rsidP="00AD285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Preamble</w:t>
      </w:r>
    </w:p>
    <w:p w14:paraId="63E753A8" w14:textId="77777777" w:rsidR="00B913E0" w:rsidRDefault="00D12653" w:rsidP="00AD2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The </w:t>
      </w:r>
      <w:r w:rsidR="00654695" w:rsidRPr="00D12653">
        <w:rPr>
          <w:rFonts w:ascii="Arial" w:hAnsi="Arial" w:cs="Arial"/>
          <w:iCs/>
          <w:sz w:val="22"/>
          <w:szCs w:val="22"/>
        </w:rPr>
        <w:t>Medical Technology Association of Australia</w:t>
      </w:r>
      <w:r w:rsidRPr="00D12653">
        <w:rPr>
          <w:rFonts w:ascii="Arial" w:hAnsi="Arial" w:cs="Arial"/>
          <w:iCs/>
          <w:sz w:val="22"/>
          <w:szCs w:val="22"/>
        </w:rPr>
        <w:t xml:space="preserve"> (MTAA)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 favours a simple and expeditious procedure in relation to the</w:t>
      </w:r>
      <w:r w:rsidRPr="00D12653"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provision of compensation for injury caused by participation in clinical </w:t>
      </w:r>
      <w:r>
        <w:rPr>
          <w:rFonts w:ascii="Arial" w:hAnsi="Arial" w:cs="Arial"/>
          <w:iCs/>
          <w:sz w:val="22"/>
          <w:szCs w:val="22"/>
        </w:rPr>
        <w:t>investigations</w:t>
      </w:r>
      <w:r w:rsidR="00B913E0" w:rsidRPr="00D12653">
        <w:rPr>
          <w:rFonts w:ascii="Arial" w:hAnsi="Arial" w:cs="Arial"/>
          <w:iCs/>
          <w:sz w:val="22"/>
          <w:szCs w:val="22"/>
        </w:rPr>
        <w:t>.</w:t>
      </w:r>
    </w:p>
    <w:p w14:paraId="3C814C5E" w14:textId="77777777" w:rsidR="000347DE" w:rsidRPr="00D12653" w:rsidRDefault="000347DE" w:rsidP="00AD2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475B810C" w14:textId="77777777" w:rsidR="00B913E0" w:rsidRDefault="00D12653" w:rsidP="00AD2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D12653">
        <w:rPr>
          <w:rFonts w:ascii="Arial" w:hAnsi="Arial" w:cs="Arial"/>
          <w:iCs/>
          <w:sz w:val="22"/>
          <w:szCs w:val="22"/>
        </w:rPr>
        <w:t>MTAA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 therefore recommends that a member company sponsoring 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clinical </w:t>
      </w:r>
      <w:r w:rsidR="00970065">
        <w:rPr>
          <w:rFonts w:ascii="Arial" w:hAnsi="Arial" w:cs="Arial"/>
          <w:iCs/>
          <w:sz w:val="22"/>
          <w:szCs w:val="22"/>
        </w:rPr>
        <w:t>investigation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 (“the Sponsor”) should provide a written assurance to the investigator -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>and through him or her to the relevant Ethics Committee - that the following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>Guidelines will be adhered to, without legal commitment, in the event of injury caused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to a Subject attributable to participation in the </w:t>
      </w:r>
      <w:r w:rsidR="00970065">
        <w:rPr>
          <w:rFonts w:ascii="Arial" w:hAnsi="Arial" w:cs="Arial"/>
          <w:iCs/>
          <w:sz w:val="22"/>
          <w:szCs w:val="22"/>
        </w:rPr>
        <w:t>investigation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 in question</w:t>
      </w:r>
      <w:r w:rsidR="00EE56A6" w:rsidRPr="00D12653">
        <w:rPr>
          <w:rFonts w:ascii="Arial" w:hAnsi="Arial" w:cs="Arial"/>
          <w:iCs/>
          <w:sz w:val="22"/>
          <w:szCs w:val="22"/>
        </w:rPr>
        <w:t xml:space="preserve">.  </w:t>
      </w:r>
      <w:r w:rsidR="00B913E0" w:rsidRPr="00D12653">
        <w:rPr>
          <w:rFonts w:ascii="Arial" w:hAnsi="Arial" w:cs="Arial"/>
          <w:iCs/>
          <w:sz w:val="22"/>
          <w:szCs w:val="22"/>
        </w:rPr>
        <w:t>Non-members of</w:t>
      </w:r>
      <w:r w:rsidR="00970065">
        <w:rPr>
          <w:rFonts w:ascii="Arial" w:hAnsi="Arial" w:cs="Arial"/>
          <w:iCs/>
          <w:sz w:val="22"/>
          <w:szCs w:val="22"/>
        </w:rPr>
        <w:t xml:space="preserve"> the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654695" w:rsidRPr="00D12653">
        <w:rPr>
          <w:rFonts w:ascii="Arial" w:hAnsi="Arial" w:cs="Arial"/>
          <w:iCs/>
          <w:sz w:val="22"/>
          <w:szCs w:val="22"/>
        </w:rPr>
        <w:t>M</w:t>
      </w:r>
      <w:r w:rsidR="006C4C13">
        <w:rPr>
          <w:rFonts w:ascii="Arial" w:hAnsi="Arial" w:cs="Arial"/>
          <w:iCs/>
          <w:sz w:val="22"/>
          <w:szCs w:val="22"/>
        </w:rPr>
        <w:t>TAA</w:t>
      </w:r>
      <w:r w:rsidR="00B913E0" w:rsidRPr="00D12653">
        <w:rPr>
          <w:rFonts w:ascii="Arial" w:hAnsi="Arial" w:cs="Arial"/>
          <w:iCs/>
          <w:sz w:val="22"/>
          <w:szCs w:val="22"/>
        </w:rPr>
        <w:t xml:space="preserve"> are encouraged to adhere to the principles outlined in these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iCs/>
          <w:sz w:val="22"/>
          <w:szCs w:val="22"/>
        </w:rPr>
        <w:t>Guidelines.</w:t>
      </w:r>
    </w:p>
    <w:p w14:paraId="1C728D77" w14:textId="77777777" w:rsidR="000347DE" w:rsidRPr="00D12653" w:rsidRDefault="000347DE" w:rsidP="00AD2853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1A9DB7B" w14:textId="77777777" w:rsidR="00B913E0" w:rsidRDefault="00B913E0" w:rsidP="00AD285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D12653">
        <w:rPr>
          <w:rFonts w:ascii="Arial" w:hAnsi="Arial" w:cs="Arial"/>
          <w:iCs/>
          <w:sz w:val="22"/>
          <w:szCs w:val="22"/>
        </w:rPr>
        <w:t>These Guidelines</w:t>
      </w:r>
      <w:r w:rsidR="00F53DDB">
        <w:rPr>
          <w:rFonts w:ascii="Arial" w:hAnsi="Arial" w:cs="Arial"/>
          <w:iCs/>
          <w:sz w:val="22"/>
          <w:szCs w:val="22"/>
        </w:rPr>
        <w:t xml:space="preserve">, for use in </w:t>
      </w:r>
      <w:smartTag w:uri="urn:schemas-microsoft-com:office:smarttags" w:element="place">
        <w:smartTag w:uri="urn:schemas-microsoft-com:office:smarttags" w:element="country-region">
          <w:r w:rsidR="00F53DDB">
            <w:rPr>
              <w:rFonts w:ascii="Arial" w:hAnsi="Arial" w:cs="Arial"/>
              <w:iCs/>
              <w:sz w:val="22"/>
              <w:szCs w:val="22"/>
            </w:rPr>
            <w:t>Australia</w:t>
          </w:r>
        </w:smartTag>
      </w:smartTag>
      <w:r w:rsidR="00F53DDB">
        <w:rPr>
          <w:rFonts w:ascii="Arial" w:hAnsi="Arial" w:cs="Arial"/>
          <w:iCs/>
          <w:sz w:val="22"/>
          <w:szCs w:val="22"/>
        </w:rPr>
        <w:t>,</w:t>
      </w:r>
      <w:r w:rsidRPr="00D12653">
        <w:rPr>
          <w:rFonts w:ascii="Arial" w:hAnsi="Arial" w:cs="Arial"/>
          <w:iCs/>
          <w:sz w:val="22"/>
          <w:szCs w:val="22"/>
        </w:rPr>
        <w:t xml:space="preserve"> are an adaptation of those </w:t>
      </w:r>
      <w:r w:rsidR="00D12653">
        <w:rPr>
          <w:rFonts w:ascii="Arial" w:hAnsi="Arial" w:cs="Arial"/>
          <w:iCs/>
          <w:sz w:val="22"/>
          <w:szCs w:val="22"/>
        </w:rPr>
        <w:t xml:space="preserve">developed </w:t>
      </w:r>
      <w:r w:rsidRPr="00D12653">
        <w:rPr>
          <w:rFonts w:ascii="Arial" w:hAnsi="Arial" w:cs="Arial"/>
          <w:iCs/>
          <w:sz w:val="22"/>
          <w:szCs w:val="22"/>
        </w:rPr>
        <w:t xml:space="preserve">by </w:t>
      </w:r>
      <w:r w:rsidR="00654695" w:rsidRPr="00D12653">
        <w:rPr>
          <w:rFonts w:ascii="Arial" w:hAnsi="Arial" w:cs="Arial"/>
          <w:iCs/>
          <w:sz w:val="22"/>
          <w:szCs w:val="22"/>
        </w:rPr>
        <w:t>Medicines Australia</w:t>
      </w:r>
      <w:r w:rsidR="00F53DDB">
        <w:rPr>
          <w:rFonts w:ascii="Arial" w:hAnsi="Arial" w:cs="Arial"/>
          <w:iCs/>
          <w:sz w:val="22"/>
          <w:szCs w:val="22"/>
        </w:rPr>
        <w:t>.</w:t>
      </w:r>
    </w:p>
    <w:p w14:paraId="1C55E1F1" w14:textId="77777777" w:rsidR="00D12653" w:rsidRPr="00D12653" w:rsidRDefault="00D12653" w:rsidP="00AD285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25C98F87" w14:textId="77777777" w:rsidR="00AF5B23" w:rsidRPr="00AF5B23" w:rsidRDefault="00B913E0" w:rsidP="00AD28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Basic Principles</w:t>
      </w:r>
      <w:r w:rsidR="000347DE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4093F1A1" w14:textId="77777777" w:rsid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Notwithstanding the absence of legal commitment, the Sponsor should pay</w:t>
      </w:r>
      <w:r w:rsidR="007E552C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compensation to participants in clinical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s (“Subjects”) suffering personal</w:t>
      </w:r>
      <w:r w:rsidR="00AF5B23">
        <w:rPr>
          <w:rFonts w:ascii="Arial" w:hAnsi="Arial" w:cs="Arial"/>
          <w:sz w:val="22"/>
          <w:szCs w:val="22"/>
        </w:rPr>
        <w:t xml:space="preserve"> injury (</w:t>
      </w:r>
      <w:r w:rsidRPr="00D12653">
        <w:rPr>
          <w:rFonts w:ascii="Arial" w:hAnsi="Arial" w:cs="Arial"/>
          <w:sz w:val="22"/>
          <w:szCs w:val="22"/>
        </w:rPr>
        <w:t>including death) in accordance with these Guidelines.</w:t>
      </w:r>
      <w:r w:rsidR="000347DE">
        <w:rPr>
          <w:rFonts w:ascii="Arial" w:hAnsi="Arial" w:cs="Arial"/>
          <w:sz w:val="22"/>
          <w:szCs w:val="22"/>
        </w:rPr>
        <w:br/>
      </w:r>
    </w:p>
    <w:p w14:paraId="06A98130" w14:textId="6B95D1C7" w:rsid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Compensation should be paid when, on the balance of probabilities, the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injury was attributable to the use of a product under </w:t>
      </w:r>
      <w:r w:rsidR="00656E6E">
        <w:rPr>
          <w:rFonts w:ascii="Arial" w:hAnsi="Arial" w:cs="Arial"/>
          <w:sz w:val="22"/>
          <w:szCs w:val="22"/>
        </w:rPr>
        <w:t>investigation,</w:t>
      </w:r>
      <w:r w:rsidRPr="00D12653">
        <w:rPr>
          <w:rFonts w:ascii="Arial" w:hAnsi="Arial" w:cs="Arial"/>
          <w:sz w:val="22"/>
          <w:szCs w:val="22"/>
        </w:rPr>
        <w:t xml:space="preserve"> or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any clinical intervention or procedure provided for by the protocol that would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not have occurred but for the inclusion of the Subject in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</w:t>
      </w:r>
      <w:r w:rsidR="000347DE">
        <w:rPr>
          <w:rFonts w:ascii="Arial" w:hAnsi="Arial" w:cs="Arial"/>
          <w:sz w:val="22"/>
          <w:szCs w:val="22"/>
        </w:rPr>
        <w:br/>
      </w:r>
    </w:p>
    <w:p w14:paraId="2FCDBDCB" w14:textId="77777777" w:rsid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Compensation should be paid to a child injured in utero through the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participation of the child's mother in a clinical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as if the child were a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Subject with the full benefit of these Guidelines.</w:t>
      </w:r>
      <w:r w:rsidR="000347DE">
        <w:rPr>
          <w:rFonts w:ascii="Arial" w:hAnsi="Arial" w:cs="Arial"/>
          <w:sz w:val="22"/>
          <w:szCs w:val="22"/>
        </w:rPr>
        <w:br/>
      </w:r>
    </w:p>
    <w:p w14:paraId="02F6E6CC" w14:textId="77777777" w:rsid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Compensation should only be paid for the more serious injury of an enduring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and disabling character (including exacerbation of an existing condition) and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not for temporary pain or discomfort or less serious or readily curable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complaints.</w:t>
      </w:r>
      <w:r w:rsidR="000347DE">
        <w:rPr>
          <w:rFonts w:ascii="Arial" w:hAnsi="Arial" w:cs="Arial"/>
          <w:sz w:val="22"/>
          <w:szCs w:val="22"/>
        </w:rPr>
        <w:br/>
      </w:r>
    </w:p>
    <w:p w14:paraId="5500CF9D" w14:textId="77777777" w:rsid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Where there is an adverse reaction to a product 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and injury is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caused by a procedure adopted to deal with that adverse reaction,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compensation should be paid for such injury as if it were caused directly by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the product 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</w:t>
      </w:r>
      <w:r w:rsidR="000347DE">
        <w:rPr>
          <w:rFonts w:ascii="Arial" w:hAnsi="Arial" w:cs="Arial"/>
          <w:sz w:val="22"/>
          <w:szCs w:val="22"/>
        </w:rPr>
        <w:br/>
      </w:r>
    </w:p>
    <w:p w14:paraId="1B299A06" w14:textId="77777777" w:rsidR="00DD1D5D" w:rsidRPr="00DD1D5D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Neither the fact that the adverse reaction causing the injury was foreseeable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or predictable, nor the fact that the Subject has freely consented (whether in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writing or otherwise) to participate in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should exclude a Subject from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consideration for compensation under these Guidelines, although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compensation may be reduced or excluded in the light of the factors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described in paragraph 4.2 below.</w:t>
      </w:r>
      <w:r w:rsidR="00DD1D5D">
        <w:rPr>
          <w:rFonts w:ascii="Arial" w:hAnsi="Arial" w:cs="Arial"/>
          <w:sz w:val="22"/>
          <w:szCs w:val="22"/>
        </w:rPr>
        <w:br/>
      </w:r>
    </w:p>
    <w:p w14:paraId="26069672" w14:textId="77777777" w:rsidR="000347DE" w:rsidRPr="000347DE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For the avoidance of doubt, compensation should be paid regardless of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whether the Subject is able to prove that the company has been negligent in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relation to research or development of the product 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or that the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product is defective and therefore the Sponsor is subject to strict liability in</w:t>
      </w:r>
      <w:r w:rsidR="000347DE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respect of injuries caused by it.</w:t>
      </w:r>
      <w:r w:rsidR="000347DE">
        <w:rPr>
          <w:rFonts w:ascii="Arial" w:hAnsi="Arial" w:cs="Arial"/>
          <w:sz w:val="22"/>
          <w:szCs w:val="22"/>
        </w:rPr>
        <w:br/>
      </w:r>
      <w:r w:rsidR="000F6066">
        <w:rPr>
          <w:rFonts w:ascii="Arial" w:hAnsi="Arial" w:cs="Arial"/>
          <w:sz w:val="22"/>
          <w:szCs w:val="22"/>
        </w:rPr>
        <w:lastRenderedPageBreak/>
        <w:br/>
      </w:r>
    </w:p>
    <w:p w14:paraId="65C66B14" w14:textId="77777777" w:rsidR="000347DE" w:rsidRPr="000347DE" w:rsidRDefault="00B913E0" w:rsidP="00AD285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Type of Clinical Research Covered</w:t>
      </w:r>
      <w:r w:rsidR="00E53E2F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0806CC0A" w14:textId="77777777" w:rsidR="00E53E2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These Guidelines apply to injury caused to Subjects involved in clinical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s</w:t>
      </w:r>
      <w:proofErr w:type="gramStart"/>
      <w:r w:rsidRPr="00D12653">
        <w:rPr>
          <w:rFonts w:ascii="Arial" w:hAnsi="Arial" w:cs="Arial"/>
          <w:sz w:val="22"/>
          <w:szCs w:val="22"/>
        </w:rPr>
        <w:t>,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that is to say, Subjects</w:t>
      </w:r>
      <w:proofErr w:type="gramEnd"/>
      <w:r w:rsidRPr="00D12653">
        <w:rPr>
          <w:rFonts w:ascii="Arial" w:hAnsi="Arial" w:cs="Arial"/>
          <w:sz w:val="22"/>
          <w:szCs w:val="22"/>
        </w:rPr>
        <w:t xml:space="preserve"> </w:t>
      </w:r>
      <w:r w:rsidR="00F53DDB">
        <w:rPr>
          <w:rFonts w:ascii="Arial" w:hAnsi="Arial" w:cs="Arial"/>
          <w:sz w:val="22"/>
          <w:szCs w:val="22"/>
        </w:rPr>
        <w:t xml:space="preserve">using or having the product used on or in them that is </w:t>
      </w:r>
      <w:r w:rsidRPr="00D12653">
        <w:rPr>
          <w:rFonts w:ascii="Arial" w:hAnsi="Arial" w:cs="Arial"/>
          <w:sz w:val="22"/>
          <w:szCs w:val="22"/>
        </w:rPr>
        <w:t xml:space="preserve">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</w:t>
      </w:r>
      <w:r w:rsidR="00F53DDB">
        <w:rPr>
          <w:rFonts w:ascii="Arial" w:hAnsi="Arial" w:cs="Arial"/>
          <w:sz w:val="22"/>
          <w:szCs w:val="22"/>
        </w:rPr>
        <w:t xml:space="preserve">for whom the product is intended to be used by, on or in </w:t>
      </w:r>
      <w:r w:rsidRPr="00D12653">
        <w:rPr>
          <w:rFonts w:ascii="Arial" w:hAnsi="Arial" w:cs="Arial"/>
          <w:sz w:val="22"/>
          <w:szCs w:val="22"/>
        </w:rPr>
        <w:t>but for which a</w:t>
      </w:r>
      <w:r w:rsidR="00970065">
        <w:rPr>
          <w:rFonts w:ascii="Arial" w:hAnsi="Arial" w:cs="Arial"/>
          <w:sz w:val="22"/>
          <w:szCs w:val="22"/>
        </w:rPr>
        <w:t xml:space="preserve">n inclusion in the Australian Register of Therapeutic Goods (ARTG) </w:t>
      </w:r>
      <w:r w:rsidRPr="00D12653">
        <w:rPr>
          <w:rFonts w:ascii="Arial" w:hAnsi="Arial" w:cs="Arial"/>
          <w:sz w:val="22"/>
          <w:szCs w:val="22"/>
        </w:rPr>
        <w:t>does not exist or does not authorise supply for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="00F53DDB">
        <w:rPr>
          <w:rFonts w:ascii="Arial" w:hAnsi="Arial" w:cs="Arial"/>
          <w:sz w:val="22"/>
          <w:szCs w:val="22"/>
        </w:rPr>
        <w:t>use</w:t>
      </w:r>
      <w:r w:rsidRPr="00D12653">
        <w:rPr>
          <w:rFonts w:ascii="Arial" w:hAnsi="Arial" w:cs="Arial"/>
          <w:sz w:val="22"/>
          <w:szCs w:val="22"/>
        </w:rPr>
        <w:t xml:space="preserve"> under the conditions of the </w:t>
      </w:r>
      <w:r w:rsidR="00970065">
        <w:rPr>
          <w:rFonts w:ascii="Arial" w:hAnsi="Arial" w:cs="Arial"/>
          <w:sz w:val="22"/>
          <w:szCs w:val="22"/>
        </w:rPr>
        <w:t>investigation.</w:t>
      </w:r>
      <w:r w:rsidR="00F8367D">
        <w:rPr>
          <w:rFonts w:ascii="Arial" w:hAnsi="Arial" w:cs="Arial"/>
          <w:sz w:val="22"/>
          <w:szCs w:val="22"/>
        </w:rPr>
        <w:t xml:space="preserve">  </w:t>
      </w:r>
      <w:r w:rsidR="00E53E2F">
        <w:rPr>
          <w:rFonts w:ascii="Arial" w:hAnsi="Arial" w:cs="Arial"/>
          <w:sz w:val="22"/>
          <w:szCs w:val="22"/>
        </w:rPr>
        <w:br/>
      </w:r>
    </w:p>
    <w:p w14:paraId="07CE5315" w14:textId="77777777" w:rsidR="00E53E2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These Guidelines also apply to injuries arising from studies in either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patient or non-patient volunteers, </w:t>
      </w:r>
      <w:proofErr w:type="gramStart"/>
      <w:r w:rsidRPr="00D12653">
        <w:rPr>
          <w:rFonts w:ascii="Arial" w:hAnsi="Arial" w:cs="Arial"/>
          <w:sz w:val="22"/>
          <w:szCs w:val="22"/>
        </w:rPr>
        <w:t>whether or not</w:t>
      </w:r>
      <w:proofErr w:type="gramEnd"/>
      <w:r w:rsidRPr="00D12653">
        <w:rPr>
          <w:rFonts w:ascii="Arial" w:hAnsi="Arial" w:cs="Arial"/>
          <w:sz w:val="22"/>
          <w:szCs w:val="22"/>
        </w:rPr>
        <w:t xml:space="preserve"> they are hospitalised.</w:t>
      </w:r>
      <w:r w:rsidR="00E53E2F">
        <w:rPr>
          <w:rFonts w:ascii="Arial" w:hAnsi="Arial" w:cs="Arial"/>
          <w:sz w:val="22"/>
          <w:szCs w:val="22"/>
        </w:rPr>
        <w:br/>
      </w:r>
    </w:p>
    <w:p w14:paraId="11560FFE" w14:textId="77777777" w:rsidR="00E53E2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These Guidelines do not apply to injury arising from clinical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s on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marketed products where a</w:t>
      </w:r>
      <w:r w:rsidR="00970065">
        <w:rPr>
          <w:rFonts w:ascii="Arial" w:hAnsi="Arial" w:cs="Arial"/>
          <w:sz w:val="22"/>
          <w:szCs w:val="22"/>
        </w:rPr>
        <w:t>n inclusion in the ARTG</w:t>
      </w:r>
      <w:r w:rsidRPr="00D12653">
        <w:rPr>
          <w:rFonts w:ascii="Arial" w:hAnsi="Arial" w:cs="Arial"/>
          <w:sz w:val="22"/>
          <w:szCs w:val="22"/>
        </w:rPr>
        <w:t xml:space="preserve"> exists authorising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supply for </w:t>
      </w:r>
      <w:r w:rsidR="00970065">
        <w:rPr>
          <w:rFonts w:ascii="Arial" w:hAnsi="Arial" w:cs="Arial"/>
          <w:sz w:val="22"/>
          <w:szCs w:val="22"/>
        </w:rPr>
        <w:t>use</w:t>
      </w:r>
      <w:r w:rsidRPr="00D12653">
        <w:rPr>
          <w:rFonts w:ascii="Arial" w:hAnsi="Arial" w:cs="Arial"/>
          <w:sz w:val="22"/>
          <w:szCs w:val="22"/>
        </w:rPr>
        <w:t xml:space="preserve"> under the conditions of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, except to the exten</w:t>
      </w:r>
      <w:r w:rsidR="00E53E2F">
        <w:rPr>
          <w:rFonts w:ascii="Arial" w:hAnsi="Arial" w:cs="Arial"/>
          <w:sz w:val="22"/>
          <w:szCs w:val="22"/>
        </w:rPr>
        <w:t xml:space="preserve">t </w:t>
      </w:r>
      <w:r w:rsidRPr="00D12653">
        <w:rPr>
          <w:rFonts w:ascii="Arial" w:hAnsi="Arial" w:cs="Arial"/>
          <w:sz w:val="22"/>
          <w:szCs w:val="22"/>
        </w:rPr>
        <w:t>that the injury is caused to a Subject as a direct result of procedures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undertaken in accordance with the protocol (but not </w:t>
      </w:r>
      <w:r w:rsidR="00970065">
        <w:rPr>
          <w:rFonts w:ascii="Arial" w:hAnsi="Arial" w:cs="Arial"/>
          <w:sz w:val="22"/>
          <w:szCs w:val="22"/>
        </w:rPr>
        <w:t xml:space="preserve">from </w:t>
      </w:r>
      <w:r w:rsidRPr="00D12653">
        <w:rPr>
          <w:rFonts w:ascii="Arial" w:hAnsi="Arial" w:cs="Arial"/>
          <w:sz w:val="22"/>
          <w:szCs w:val="22"/>
        </w:rPr>
        <w:t>any product</w:t>
      </w:r>
      <w:r w:rsidR="00970065">
        <w:rPr>
          <w:rFonts w:ascii="Arial" w:hAnsi="Arial" w:cs="Arial"/>
          <w:sz w:val="22"/>
          <w:szCs w:val="22"/>
        </w:rPr>
        <w:t xml:space="preserve"> used</w:t>
      </w:r>
      <w:r w:rsidRPr="00D12653">
        <w:rPr>
          <w:rFonts w:ascii="Arial" w:hAnsi="Arial" w:cs="Arial"/>
          <w:sz w:val="22"/>
          <w:szCs w:val="22"/>
        </w:rPr>
        <w:t>) to which the Subject would not have been exposed had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treatment been other than in the course of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</w:t>
      </w:r>
      <w:r w:rsidR="00E53E2F">
        <w:rPr>
          <w:rFonts w:ascii="Arial" w:hAnsi="Arial" w:cs="Arial"/>
          <w:sz w:val="22"/>
          <w:szCs w:val="22"/>
        </w:rPr>
        <w:br/>
      </w:r>
    </w:p>
    <w:p w14:paraId="2DB04211" w14:textId="77777777" w:rsidR="00E53E2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These Guidelines do not apply to clinical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s that have not been initiated or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directly sponsored by or on behalf of the company providing the product for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research.</w:t>
      </w:r>
      <w:r w:rsidR="00E53E2F">
        <w:rPr>
          <w:rFonts w:ascii="Arial" w:hAnsi="Arial" w:cs="Arial"/>
          <w:sz w:val="22"/>
          <w:szCs w:val="22"/>
        </w:rPr>
        <w:br/>
      </w:r>
    </w:p>
    <w:p w14:paraId="5DE341E4" w14:textId="77777777" w:rsidR="00E53E2F" w:rsidRPr="00E53E2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Where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s of products are initiated independently by doctors under the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appropriate </w:t>
      </w:r>
      <w:r w:rsidRPr="00D12653">
        <w:rPr>
          <w:rFonts w:ascii="Arial" w:hAnsi="Arial" w:cs="Arial"/>
          <w:i/>
          <w:iCs/>
          <w:sz w:val="22"/>
          <w:szCs w:val="22"/>
        </w:rPr>
        <w:t xml:space="preserve">Therapeutic Goods Act 1989 </w:t>
      </w:r>
      <w:r w:rsidRPr="00D12653">
        <w:rPr>
          <w:rFonts w:ascii="Arial" w:hAnsi="Arial" w:cs="Arial"/>
          <w:sz w:val="22"/>
          <w:szCs w:val="22"/>
        </w:rPr>
        <w:t>exemptions, responsibility for the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health and welfare of Subjects rests with the doctor alone (see also</w:t>
      </w:r>
      <w:r w:rsidR="00E53E2F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paragraph 5.2 below).</w:t>
      </w:r>
      <w:r w:rsidR="00E53E2F">
        <w:rPr>
          <w:rFonts w:ascii="Arial" w:hAnsi="Arial" w:cs="Arial"/>
          <w:sz w:val="22"/>
          <w:szCs w:val="22"/>
        </w:rPr>
        <w:br/>
      </w:r>
    </w:p>
    <w:p w14:paraId="7263BF1C" w14:textId="77777777" w:rsidR="008A791B" w:rsidRPr="008A791B" w:rsidRDefault="00B913E0" w:rsidP="00AD285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Limitations</w:t>
      </w:r>
      <w:r w:rsidR="008A791B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77A79BF7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No compensation should be paid for the failure of a product to have its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intended effect or to provide any other benefit to the Subject.</w:t>
      </w:r>
      <w:r w:rsidR="008A791B">
        <w:rPr>
          <w:rFonts w:ascii="Arial" w:hAnsi="Arial" w:cs="Arial"/>
          <w:sz w:val="22"/>
          <w:szCs w:val="22"/>
        </w:rPr>
        <w:br/>
      </w:r>
    </w:p>
    <w:p w14:paraId="74174A3D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No compensation should be paid for injury caused by other </w:t>
      </w:r>
      <w:r w:rsidR="00970065">
        <w:rPr>
          <w:rFonts w:ascii="Arial" w:hAnsi="Arial" w:cs="Arial"/>
          <w:sz w:val="22"/>
          <w:szCs w:val="22"/>
        </w:rPr>
        <w:t xml:space="preserve">included, </w:t>
      </w:r>
      <w:r w:rsidR="00EE56A6">
        <w:rPr>
          <w:rFonts w:ascii="Arial" w:hAnsi="Arial" w:cs="Arial"/>
          <w:sz w:val="22"/>
          <w:szCs w:val="22"/>
        </w:rPr>
        <w:t>registered,</w:t>
      </w:r>
      <w:r w:rsidR="00970065">
        <w:rPr>
          <w:rFonts w:ascii="Arial" w:hAnsi="Arial" w:cs="Arial"/>
          <w:sz w:val="22"/>
          <w:szCs w:val="22"/>
        </w:rPr>
        <w:t xml:space="preserve"> or listed products in the ARTG</w:t>
      </w:r>
      <w:r w:rsidRPr="00D12653">
        <w:rPr>
          <w:rFonts w:ascii="Arial" w:hAnsi="Arial" w:cs="Arial"/>
          <w:sz w:val="22"/>
          <w:szCs w:val="22"/>
        </w:rPr>
        <w:t xml:space="preserve"> administered to or used by</w:t>
      </w:r>
      <w:r w:rsidR="00C436A5">
        <w:rPr>
          <w:rFonts w:ascii="Arial" w:hAnsi="Arial" w:cs="Arial"/>
          <w:sz w:val="22"/>
          <w:szCs w:val="22"/>
        </w:rPr>
        <w:t>, on or in</w:t>
      </w:r>
      <w:r w:rsidRPr="00D12653">
        <w:rPr>
          <w:rFonts w:ascii="Arial" w:hAnsi="Arial" w:cs="Arial"/>
          <w:sz w:val="22"/>
          <w:szCs w:val="22"/>
        </w:rPr>
        <w:t xml:space="preserve"> the Subject for the purpose of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comparison with the product 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</w:t>
      </w:r>
      <w:r w:rsidR="008A791B">
        <w:rPr>
          <w:rFonts w:ascii="Arial" w:hAnsi="Arial" w:cs="Arial"/>
          <w:sz w:val="22"/>
          <w:szCs w:val="22"/>
        </w:rPr>
        <w:br/>
      </w:r>
    </w:p>
    <w:p w14:paraId="3C87FB93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No compensation should be paid to Subjects receiving placebo in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consideration of its failure to provide a therapeutic benefit.</w:t>
      </w:r>
      <w:r w:rsidR="008A791B">
        <w:rPr>
          <w:rFonts w:ascii="Arial" w:hAnsi="Arial" w:cs="Arial"/>
          <w:sz w:val="22"/>
          <w:szCs w:val="22"/>
        </w:rPr>
        <w:br/>
      </w:r>
    </w:p>
    <w:p w14:paraId="47CB0228" w14:textId="77777777" w:rsidR="006D59F2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No compensation should be paid (or it should be reduced as the case may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be) to the extent that the injury has arisen through:</w:t>
      </w:r>
    </w:p>
    <w:p w14:paraId="521E8482" w14:textId="5607D10F" w:rsidR="008A791B" w:rsidRDefault="00B913E0" w:rsidP="00AD2853">
      <w:pPr>
        <w:numPr>
          <w:ilvl w:val="2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a significant departure from the agreed protocol</w:t>
      </w:r>
      <w:r w:rsidR="00656E6E">
        <w:rPr>
          <w:rFonts w:ascii="Arial" w:hAnsi="Arial" w:cs="Arial"/>
          <w:sz w:val="22"/>
          <w:szCs w:val="22"/>
        </w:rPr>
        <w:t>,</w:t>
      </w:r>
    </w:p>
    <w:p w14:paraId="77CE501B" w14:textId="77777777" w:rsidR="006D59F2" w:rsidRDefault="00B913E0" w:rsidP="00AD2853">
      <w:pPr>
        <w:numPr>
          <w:ilvl w:val="2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the wrongful act or default of a third party, including a doctor's failure to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deal adequately with an adverse reaction; or</w:t>
      </w:r>
    </w:p>
    <w:p w14:paraId="40E416B1" w14:textId="77777777" w:rsidR="008A791B" w:rsidRPr="006D59F2" w:rsidRDefault="00B913E0" w:rsidP="00AD2853">
      <w:pPr>
        <w:numPr>
          <w:ilvl w:val="2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contributory negligence by the Subject.</w:t>
      </w:r>
      <w:r w:rsidR="008A791B">
        <w:rPr>
          <w:rFonts w:ascii="Arial" w:hAnsi="Arial" w:cs="Arial"/>
          <w:sz w:val="22"/>
          <w:szCs w:val="22"/>
        </w:rPr>
        <w:br/>
      </w:r>
    </w:p>
    <w:p w14:paraId="094759F3" w14:textId="77777777" w:rsidR="008A791B" w:rsidRPr="008A791B" w:rsidRDefault="00B913E0" w:rsidP="00AD285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Assessment of Compensation</w:t>
      </w:r>
      <w:r w:rsidR="008A791B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15263FF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The amount of compensation paid should be appropriate to the nature,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8A791B" w:rsidRPr="00D12653">
        <w:rPr>
          <w:rFonts w:ascii="Arial" w:hAnsi="Arial" w:cs="Arial"/>
          <w:sz w:val="22"/>
          <w:szCs w:val="22"/>
        </w:rPr>
        <w:t>severity,</w:t>
      </w:r>
      <w:r w:rsidRPr="00D12653">
        <w:rPr>
          <w:rFonts w:ascii="Arial" w:hAnsi="Arial" w:cs="Arial"/>
          <w:sz w:val="22"/>
          <w:szCs w:val="22"/>
        </w:rPr>
        <w:t xml:space="preserve"> and persistence of the injury.</w:t>
      </w:r>
      <w:r w:rsidR="008A791B">
        <w:rPr>
          <w:rFonts w:ascii="Arial" w:hAnsi="Arial" w:cs="Arial"/>
          <w:sz w:val="22"/>
          <w:szCs w:val="22"/>
        </w:rPr>
        <w:br/>
      </w:r>
    </w:p>
    <w:p w14:paraId="20D2E144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lastRenderedPageBreak/>
        <w:t>Compensation may be reduced, or in certain circumstances excluded, in the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light of the following factors (on which will depend the level of risk the Subject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can reasonably be expected to accept):</w:t>
      </w:r>
    </w:p>
    <w:p w14:paraId="5518A6F3" w14:textId="5CCF101D" w:rsidR="008A791B" w:rsidRDefault="00B913E0" w:rsidP="00AD2853">
      <w:pPr>
        <w:numPr>
          <w:ilvl w:val="2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the seriousness of the </w:t>
      </w:r>
      <w:r w:rsidR="00757345">
        <w:rPr>
          <w:rFonts w:ascii="Arial" w:hAnsi="Arial" w:cs="Arial"/>
          <w:sz w:val="22"/>
          <w:szCs w:val="22"/>
        </w:rPr>
        <w:t>reason for which the product is being used</w:t>
      </w:r>
      <w:r w:rsidRPr="00D12653">
        <w:rPr>
          <w:rFonts w:ascii="Arial" w:hAnsi="Arial" w:cs="Arial"/>
          <w:sz w:val="22"/>
          <w:szCs w:val="22"/>
        </w:rPr>
        <w:t>, the degree of probability that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adverse reactions will </w:t>
      </w:r>
      <w:r w:rsidR="00656E6E" w:rsidRPr="00D12653">
        <w:rPr>
          <w:rFonts w:ascii="Arial" w:hAnsi="Arial" w:cs="Arial"/>
          <w:sz w:val="22"/>
          <w:szCs w:val="22"/>
        </w:rPr>
        <w:t>occur,</w:t>
      </w:r>
      <w:r w:rsidRPr="00D12653">
        <w:rPr>
          <w:rFonts w:ascii="Arial" w:hAnsi="Arial" w:cs="Arial"/>
          <w:sz w:val="22"/>
          <w:szCs w:val="22"/>
        </w:rPr>
        <w:t xml:space="preserve"> and any warnings given</w:t>
      </w:r>
      <w:r w:rsidR="00656E6E">
        <w:rPr>
          <w:rFonts w:ascii="Arial" w:hAnsi="Arial" w:cs="Arial"/>
          <w:sz w:val="22"/>
          <w:szCs w:val="22"/>
        </w:rPr>
        <w:t>,</w:t>
      </w:r>
    </w:p>
    <w:p w14:paraId="2DC9896D" w14:textId="77777777" w:rsidR="00DD1D5D" w:rsidRDefault="00B913E0" w:rsidP="00AD2853">
      <w:pPr>
        <w:numPr>
          <w:ilvl w:val="2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 xml:space="preserve">the risks and benefits of established </w:t>
      </w:r>
      <w:r w:rsidR="006C4C13">
        <w:rPr>
          <w:rFonts w:ascii="Arial" w:hAnsi="Arial" w:cs="Arial"/>
          <w:sz w:val="22"/>
          <w:szCs w:val="22"/>
        </w:rPr>
        <w:t>uses</w:t>
      </w:r>
      <w:r w:rsidRPr="00D12653">
        <w:rPr>
          <w:rFonts w:ascii="Arial" w:hAnsi="Arial" w:cs="Arial"/>
          <w:sz w:val="22"/>
          <w:szCs w:val="22"/>
        </w:rPr>
        <w:t xml:space="preserve"> relative to those known or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suspected of the product under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</w:t>
      </w:r>
    </w:p>
    <w:p w14:paraId="27A9E993" w14:textId="0EAA0D9E" w:rsidR="008A791B" w:rsidRDefault="00DD1D5D" w:rsidP="00AD2853">
      <w:pPr>
        <w:tabs>
          <w:tab w:val="left" w:pos="840"/>
        </w:tabs>
        <w:autoSpaceDE w:val="0"/>
        <w:autoSpaceDN w:val="0"/>
        <w:adjustRightInd w:val="0"/>
        <w:ind w:left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B913E0" w:rsidRPr="00D12653">
        <w:rPr>
          <w:rFonts w:ascii="Arial" w:hAnsi="Arial" w:cs="Arial"/>
          <w:sz w:val="22"/>
          <w:szCs w:val="22"/>
        </w:rPr>
        <w:t xml:space="preserve">This reflects the fact that flexibility is required given the </w:t>
      </w:r>
      <w:proofErr w:type="gramStart"/>
      <w:r w:rsidR="00B913E0" w:rsidRPr="00D12653">
        <w:rPr>
          <w:rFonts w:ascii="Arial" w:hAnsi="Arial" w:cs="Arial"/>
          <w:sz w:val="22"/>
          <w:szCs w:val="22"/>
        </w:rPr>
        <w:t>particular Subject’s</w:t>
      </w:r>
      <w:proofErr w:type="gramEnd"/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circumstances</w:t>
      </w:r>
      <w:r w:rsidR="00EE56A6" w:rsidRPr="00D12653">
        <w:rPr>
          <w:rFonts w:ascii="Arial" w:hAnsi="Arial" w:cs="Arial"/>
          <w:sz w:val="22"/>
          <w:szCs w:val="22"/>
        </w:rPr>
        <w:t xml:space="preserve">. </w:t>
      </w:r>
      <w:r w:rsidR="00B913E0" w:rsidRPr="00D12653">
        <w:rPr>
          <w:rFonts w:ascii="Arial" w:hAnsi="Arial" w:cs="Arial"/>
          <w:sz w:val="22"/>
          <w:szCs w:val="22"/>
        </w:rPr>
        <w:t>As an extreme example, there may be a Subject suffering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from a serious or life-threatening disease who is warned of a certain defined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risk of adverse reaction</w:t>
      </w:r>
      <w:r w:rsidR="00EE56A6" w:rsidRPr="00D12653">
        <w:rPr>
          <w:rFonts w:ascii="Arial" w:hAnsi="Arial" w:cs="Arial"/>
          <w:sz w:val="22"/>
          <w:szCs w:val="22"/>
        </w:rPr>
        <w:t xml:space="preserve">. </w:t>
      </w:r>
      <w:r w:rsidR="00B913E0" w:rsidRPr="00D12653">
        <w:rPr>
          <w:rFonts w:ascii="Arial" w:hAnsi="Arial" w:cs="Arial"/>
          <w:sz w:val="22"/>
          <w:szCs w:val="22"/>
        </w:rPr>
        <w:t xml:space="preserve">Participation in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="00B913E0" w:rsidRPr="00D12653">
        <w:rPr>
          <w:rFonts w:ascii="Arial" w:hAnsi="Arial" w:cs="Arial"/>
          <w:sz w:val="22"/>
          <w:szCs w:val="22"/>
        </w:rPr>
        <w:t xml:space="preserve"> is then based on an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expectation that the benefit/risk ratio associated with participation may be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better than that associated with alternative treatment</w:t>
      </w:r>
      <w:r w:rsidR="00F712AC" w:rsidRPr="00D12653">
        <w:rPr>
          <w:rFonts w:ascii="Arial" w:hAnsi="Arial" w:cs="Arial"/>
          <w:sz w:val="22"/>
          <w:szCs w:val="22"/>
        </w:rPr>
        <w:t xml:space="preserve">. </w:t>
      </w:r>
      <w:r w:rsidR="00B913E0" w:rsidRPr="00D12653">
        <w:rPr>
          <w:rFonts w:ascii="Arial" w:hAnsi="Arial" w:cs="Arial"/>
          <w:sz w:val="22"/>
          <w:szCs w:val="22"/>
        </w:rPr>
        <w:t>It is, therefore,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reasonable that the Subject accepts the high risk and should not expect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compensation for the occurrence of the adverse reaction of which he or she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="00B913E0" w:rsidRPr="00D12653">
        <w:rPr>
          <w:rFonts w:ascii="Arial" w:hAnsi="Arial" w:cs="Arial"/>
          <w:sz w:val="22"/>
          <w:szCs w:val="22"/>
        </w:rPr>
        <w:t>was told.</w:t>
      </w:r>
      <w:r w:rsidR="008A791B">
        <w:rPr>
          <w:rFonts w:ascii="Arial" w:hAnsi="Arial" w:cs="Arial"/>
          <w:sz w:val="22"/>
          <w:szCs w:val="22"/>
        </w:rPr>
        <w:br/>
      </w:r>
    </w:p>
    <w:p w14:paraId="3C72711D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In any case where the Sponsor concedes that a payment should be made to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a Subject but there exists a difference of opinion between the Sponsor and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Subject as to the appropriate level of compensation, it is recommended that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the Sponsor agrees to seek at its own cost (and make available to the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Subject) the opinion of a mutually acceptable independent arbiter, and that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this arbiter's opinion should be given substantial weight by the Sponsor in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reaching its decision on the appropriate payment to be made.</w:t>
      </w:r>
      <w:r w:rsidR="008A791B">
        <w:rPr>
          <w:rFonts w:ascii="Arial" w:hAnsi="Arial" w:cs="Arial"/>
          <w:sz w:val="22"/>
          <w:szCs w:val="22"/>
        </w:rPr>
        <w:br/>
      </w:r>
    </w:p>
    <w:p w14:paraId="0D6A2EAB" w14:textId="77777777" w:rsidR="008A791B" w:rsidRPr="008A791B" w:rsidRDefault="00B913E0" w:rsidP="00AD2853">
      <w:pPr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b/>
          <w:bCs/>
          <w:i/>
          <w:iCs/>
          <w:sz w:val="22"/>
          <w:szCs w:val="22"/>
        </w:rPr>
        <w:t>Miscellaneous</w:t>
      </w:r>
      <w:r w:rsidR="008A791B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3D8D1463" w14:textId="77777777" w:rsidR="008A791B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Claims pursuant to the Guidelines should be made by the Subject to the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Sponsor, preferably via the investigator, setting out details of the nature and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background of the claim and, subject to the Subject providing on request an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authority for the Sponsor to review any medical records relevant to the claim,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the Sponsor should consider the claim expeditiously.</w:t>
      </w:r>
      <w:r w:rsidR="008A791B">
        <w:rPr>
          <w:rFonts w:ascii="Arial" w:hAnsi="Arial" w:cs="Arial"/>
          <w:sz w:val="22"/>
          <w:szCs w:val="22"/>
        </w:rPr>
        <w:br/>
      </w:r>
    </w:p>
    <w:p w14:paraId="6853F1A1" w14:textId="77777777" w:rsidR="00CB47AF" w:rsidRDefault="00B913E0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12653">
        <w:rPr>
          <w:rFonts w:ascii="Arial" w:hAnsi="Arial" w:cs="Arial"/>
          <w:sz w:val="22"/>
          <w:szCs w:val="22"/>
        </w:rPr>
        <w:t>The undertaking given by the Sponsor extends to injury arising (at whatever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time) from all </w:t>
      </w:r>
      <w:r w:rsidR="00970065">
        <w:rPr>
          <w:rFonts w:ascii="Arial" w:hAnsi="Arial" w:cs="Arial"/>
          <w:sz w:val="22"/>
          <w:szCs w:val="22"/>
        </w:rPr>
        <w:t>uses</w:t>
      </w:r>
      <w:r w:rsidRPr="00D12653">
        <w:rPr>
          <w:rFonts w:ascii="Arial" w:hAnsi="Arial" w:cs="Arial"/>
          <w:sz w:val="22"/>
          <w:szCs w:val="22"/>
        </w:rPr>
        <w:t>, clinical interventions or procedures occurring</w:t>
      </w:r>
      <w:r w:rsidR="008A791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12653">
        <w:rPr>
          <w:rFonts w:ascii="Arial" w:hAnsi="Arial" w:cs="Arial"/>
          <w:sz w:val="22"/>
          <w:szCs w:val="22"/>
        </w:rPr>
        <w:t>during the course of</w:t>
      </w:r>
      <w:proofErr w:type="gramEnd"/>
      <w:r w:rsidRPr="00D12653">
        <w:rPr>
          <w:rFonts w:ascii="Arial" w:hAnsi="Arial" w:cs="Arial"/>
          <w:sz w:val="22"/>
          <w:szCs w:val="22"/>
        </w:rPr>
        <w:t xml:space="preserve">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but not to injury arising from </w:t>
      </w:r>
      <w:r w:rsidR="00757345">
        <w:rPr>
          <w:rFonts w:ascii="Arial" w:hAnsi="Arial" w:cs="Arial"/>
          <w:sz w:val="22"/>
          <w:szCs w:val="22"/>
        </w:rPr>
        <w:t>the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 xml:space="preserve">use of the product beyond the end of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>. The use of unregistered</w:t>
      </w:r>
      <w:r w:rsidR="00970065">
        <w:rPr>
          <w:rFonts w:ascii="Arial" w:hAnsi="Arial" w:cs="Arial"/>
          <w:sz w:val="22"/>
          <w:szCs w:val="22"/>
        </w:rPr>
        <w:t xml:space="preserve">, </w:t>
      </w:r>
      <w:r w:rsidRPr="00D12653">
        <w:rPr>
          <w:rFonts w:ascii="Arial" w:hAnsi="Arial" w:cs="Arial"/>
          <w:sz w:val="22"/>
          <w:szCs w:val="22"/>
        </w:rPr>
        <w:t>unlisted products</w:t>
      </w:r>
      <w:r w:rsidR="00970065">
        <w:rPr>
          <w:rFonts w:ascii="Arial" w:hAnsi="Arial" w:cs="Arial"/>
          <w:sz w:val="22"/>
          <w:szCs w:val="22"/>
        </w:rPr>
        <w:t xml:space="preserve"> or products not included in the ARTG</w:t>
      </w:r>
      <w:r w:rsidRPr="00D12653">
        <w:rPr>
          <w:rFonts w:ascii="Arial" w:hAnsi="Arial" w:cs="Arial"/>
          <w:sz w:val="22"/>
          <w:szCs w:val="22"/>
        </w:rPr>
        <w:t xml:space="preserve"> beyond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D12653">
        <w:rPr>
          <w:rFonts w:ascii="Arial" w:hAnsi="Arial" w:cs="Arial"/>
          <w:sz w:val="22"/>
          <w:szCs w:val="22"/>
        </w:rPr>
        <w:t xml:space="preserve"> period is wholly the responsibility of the</w:t>
      </w:r>
      <w:r w:rsidR="008A791B">
        <w:rPr>
          <w:rFonts w:ascii="Arial" w:hAnsi="Arial" w:cs="Arial"/>
          <w:sz w:val="22"/>
          <w:szCs w:val="22"/>
        </w:rPr>
        <w:t xml:space="preserve"> </w:t>
      </w:r>
      <w:r w:rsidRPr="00D12653">
        <w:rPr>
          <w:rFonts w:ascii="Arial" w:hAnsi="Arial" w:cs="Arial"/>
          <w:sz w:val="22"/>
          <w:szCs w:val="22"/>
        </w:rPr>
        <w:t>treating doctor.</w:t>
      </w:r>
      <w:r w:rsidR="00CB47AF">
        <w:rPr>
          <w:rFonts w:ascii="Arial" w:hAnsi="Arial" w:cs="Arial"/>
          <w:sz w:val="22"/>
          <w:szCs w:val="22"/>
        </w:rPr>
        <w:br/>
      </w:r>
    </w:p>
    <w:p w14:paraId="77699B41" w14:textId="2CD91B26" w:rsidR="00373AEF" w:rsidRDefault="00CB47AF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47AF">
        <w:rPr>
          <w:rFonts w:ascii="Arial" w:hAnsi="Arial" w:cs="Arial"/>
          <w:sz w:val="22"/>
          <w:szCs w:val="22"/>
        </w:rPr>
        <w:t>The fact that the Sponsor has agreed to abide by these Guidelines in respect</w:t>
      </w:r>
      <w:r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 xml:space="preserve">of </w:t>
      </w:r>
      <w:r w:rsidR="00486A9D" w:rsidRPr="00CB47AF">
        <w:rPr>
          <w:rFonts w:ascii="Arial" w:hAnsi="Arial" w:cs="Arial"/>
          <w:sz w:val="22"/>
          <w:szCs w:val="22"/>
        </w:rPr>
        <w:t>an</w:t>
      </w:r>
      <w:r w:rsidRPr="00CB47AF">
        <w:rPr>
          <w:rFonts w:ascii="Arial" w:hAnsi="Arial" w:cs="Arial"/>
          <w:sz w:val="22"/>
          <w:szCs w:val="22"/>
        </w:rPr>
        <w:t xml:space="preserve">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CB47AF">
        <w:rPr>
          <w:rFonts w:ascii="Arial" w:hAnsi="Arial" w:cs="Arial"/>
          <w:sz w:val="22"/>
          <w:szCs w:val="22"/>
        </w:rPr>
        <w:t xml:space="preserve"> does not affect the right of a Subject to pursue a legal remedy in</w:t>
      </w:r>
      <w:r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 xml:space="preserve">respect of injury alleged to have been suffered </w:t>
      </w:r>
      <w:proofErr w:type="gramStart"/>
      <w:r w:rsidRPr="00CB47AF">
        <w:rPr>
          <w:rFonts w:ascii="Arial" w:hAnsi="Arial" w:cs="Arial"/>
          <w:sz w:val="22"/>
          <w:szCs w:val="22"/>
        </w:rPr>
        <w:t>as a result of</w:t>
      </w:r>
      <w:proofErr w:type="gramEnd"/>
      <w:r w:rsidRPr="00CB47AF">
        <w:rPr>
          <w:rFonts w:ascii="Arial" w:hAnsi="Arial" w:cs="Arial"/>
          <w:sz w:val="22"/>
          <w:szCs w:val="22"/>
        </w:rPr>
        <w:t xml:space="preserve"> participation.</w:t>
      </w:r>
      <w:r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>Any payment made to a Subject by the Sponsor will be made without</w:t>
      </w:r>
      <w:r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>admission of liability and Subjects may be asked to accept that any payment</w:t>
      </w:r>
      <w:r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>made to them is in full settlement of their claims.</w:t>
      </w:r>
      <w:r w:rsidR="00373AEF">
        <w:rPr>
          <w:rFonts w:ascii="Arial" w:hAnsi="Arial" w:cs="Arial"/>
          <w:sz w:val="22"/>
          <w:szCs w:val="22"/>
        </w:rPr>
        <w:br/>
      </w:r>
    </w:p>
    <w:p w14:paraId="297610CA" w14:textId="77777777" w:rsidR="00CB47AF" w:rsidRPr="00CB47AF" w:rsidRDefault="00CB47AF" w:rsidP="00AD2853">
      <w:pPr>
        <w:numPr>
          <w:ilvl w:val="1"/>
          <w:numId w:val="1"/>
        </w:numPr>
        <w:tabs>
          <w:tab w:val="left" w:pos="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47AF">
        <w:rPr>
          <w:rFonts w:ascii="Arial" w:hAnsi="Arial" w:cs="Arial"/>
          <w:sz w:val="22"/>
          <w:szCs w:val="22"/>
        </w:rPr>
        <w:t>The Sponsor should encourage the investigator to make clear to participating</w:t>
      </w:r>
      <w:r w:rsidR="00373AEF"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 xml:space="preserve">Subjects that the </w:t>
      </w:r>
      <w:r w:rsidR="00970065">
        <w:rPr>
          <w:rFonts w:ascii="Arial" w:hAnsi="Arial" w:cs="Arial"/>
          <w:sz w:val="22"/>
          <w:szCs w:val="22"/>
        </w:rPr>
        <w:t>investigation</w:t>
      </w:r>
      <w:r w:rsidRPr="00CB47AF">
        <w:rPr>
          <w:rFonts w:ascii="Arial" w:hAnsi="Arial" w:cs="Arial"/>
          <w:sz w:val="22"/>
          <w:szCs w:val="22"/>
        </w:rPr>
        <w:t xml:space="preserve"> is being conducted subject to the </w:t>
      </w:r>
      <w:r w:rsidRPr="00CB47AF">
        <w:rPr>
          <w:rFonts w:ascii="Arial" w:hAnsi="Arial" w:cs="Arial"/>
          <w:i/>
          <w:iCs/>
          <w:sz w:val="22"/>
          <w:szCs w:val="22"/>
        </w:rPr>
        <w:t>Medic</w:t>
      </w:r>
      <w:r w:rsidR="000F6066">
        <w:rPr>
          <w:rFonts w:ascii="Arial" w:hAnsi="Arial" w:cs="Arial"/>
          <w:i/>
          <w:iCs/>
          <w:sz w:val="22"/>
          <w:szCs w:val="22"/>
        </w:rPr>
        <w:t xml:space="preserve">al Technology Association of Australia </w:t>
      </w:r>
      <w:r w:rsidRPr="00CB47AF">
        <w:rPr>
          <w:rFonts w:ascii="Arial" w:hAnsi="Arial" w:cs="Arial"/>
          <w:i/>
          <w:iCs/>
          <w:sz w:val="22"/>
          <w:szCs w:val="22"/>
        </w:rPr>
        <w:t>Guidelines for Compensation for Injury Resulting from Participation in a</w:t>
      </w:r>
      <w:r w:rsidR="00373AEF">
        <w:rPr>
          <w:rFonts w:ascii="Arial" w:hAnsi="Arial" w:cs="Arial"/>
          <w:i/>
          <w:iCs/>
          <w:sz w:val="22"/>
          <w:szCs w:val="22"/>
        </w:rPr>
        <w:t xml:space="preserve"> </w:t>
      </w:r>
      <w:r w:rsidRPr="00CB47AF">
        <w:rPr>
          <w:rFonts w:ascii="Arial" w:hAnsi="Arial" w:cs="Arial"/>
          <w:i/>
          <w:iCs/>
          <w:sz w:val="22"/>
          <w:szCs w:val="22"/>
        </w:rPr>
        <w:t xml:space="preserve">Company-sponsored Clinical </w:t>
      </w:r>
      <w:r w:rsidR="000F6066">
        <w:rPr>
          <w:rFonts w:ascii="Arial" w:hAnsi="Arial" w:cs="Arial"/>
          <w:i/>
          <w:iCs/>
          <w:sz w:val="22"/>
          <w:szCs w:val="22"/>
        </w:rPr>
        <w:t>Investigation</w:t>
      </w:r>
      <w:r w:rsidRPr="00CB47AF">
        <w:rPr>
          <w:rFonts w:ascii="Arial" w:hAnsi="Arial" w:cs="Arial"/>
          <w:i/>
          <w:iCs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>and to have available copies of the</w:t>
      </w:r>
      <w:r w:rsidR="00373AEF">
        <w:rPr>
          <w:rFonts w:ascii="Arial" w:hAnsi="Arial" w:cs="Arial"/>
          <w:sz w:val="22"/>
          <w:szCs w:val="22"/>
        </w:rPr>
        <w:t xml:space="preserve"> </w:t>
      </w:r>
      <w:r w:rsidRPr="00CB47AF">
        <w:rPr>
          <w:rFonts w:ascii="Arial" w:hAnsi="Arial" w:cs="Arial"/>
          <w:sz w:val="22"/>
          <w:szCs w:val="22"/>
        </w:rPr>
        <w:t>Guidelines should they be requested.</w:t>
      </w:r>
    </w:p>
    <w:sectPr w:rsidR="00CB47AF" w:rsidRPr="00CB47AF" w:rsidSect="00DB7A37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2889" w14:textId="77777777" w:rsidR="00436A51" w:rsidRDefault="00436A51">
      <w:r>
        <w:separator/>
      </w:r>
    </w:p>
  </w:endnote>
  <w:endnote w:type="continuationSeparator" w:id="0">
    <w:p w14:paraId="1A556659" w14:textId="77777777" w:rsidR="00436A51" w:rsidRDefault="0043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5421" w14:textId="77777777" w:rsidR="00392407" w:rsidRPr="000F6066" w:rsidRDefault="00392407" w:rsidP="00ED7F8A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MTAA Compensation Guidelines (Version 1) 8 April 2010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F6066">
      <w:rPr>
        <w:rFonts w:ascii="Arial" w:hAnsi="Arial" w:cs="Arial"/>
        <w:sz w:val="20"/>
        <w:szCs w:val="20"/>
      </w:rPr>
      <w:t xml:space="preserve">Page </w:t>
    </w:r>
    <w:r w:rsidRPr="000F6066">
      <w:rPr>
        <w:rStyle w:val="PageNumber"/>
        <w:rFonts w:ascii="Arial" w:hAnsi="Arial" w:cs="Arial"/>
        <w:sz w:val="20"/>
        <w:szCs w:val="20"/>
      </w:rPr>
      <w:fldChar w:fldCharType="begin"/>
    </w:r>
    <w:r w:rsidRPr="000F606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F6066">
      <w:rPr>
        <w:rStyle w:val="PageNumber"/>
        <w:rFonts w:ascii="Arial" w:hAnsi="Arial" w:cs="Arial"/>
        <w:sz w:val="20"/>
        <w:szCs w:val="20"/>
      </w:rPr>
      <w:fldChar w:fldCharType="separate"/>
    </w:r>
    <w:r w:rsidR="00AD2752">
      <w:rPr>
        <w:rStyle w:val="PageNumber"/>
        <w:rFonts w:ascii="Arial" w:hAnsi="Arial" w:cs="Arial"/>
        <w:noProof/>
        <w:sz w:val="20"/>
        <w:szCs w:val="20"/>
      </w:rPr>
      <w:t>1</w:t>
    </w:r>
    <w:r w:rsidRPr="000F6066">
      <w:rPr>
        <w:rStyle w:val="PageNumber"/>
        <w:rFonts w:ascii="Arial" w:hAnsi="Arial" w:cs="Arial"/>
        <w:sz w:val="20"/>
        <w:szCs w:val="20"/>
      </w:rPr>
      <w:fldChar w:fldCharType="end"/>
    </w:r>
    <w:r w:rsidRPr="000F6066">
      <w:rPr>
        <w:rStyle w:val="PageNumber"/>
        <w:rFonts w:ascii="Arial" w:hAnsi="Arial" w:cs="Arial"/>
        <w:sz w:val="20"/>
        <w:szCs w:val="20"/>
      </w:rPr>
      <w:t xml:space="preserve"> of </w:t>
    </w:r>
    <w:r w:rsidRPr="000F6066">
      <w:rPr>
        <w:rStyle w:val="PageNumber"/>
        <w:rFonts w:ascii="Arial" w:hAnsi="Arial" w:cs="Arial"/>
        <w:sz w:val="20"/>
        <w:szCs w:val="20"/>
      </w:rPr>
      <w:fldChar w:fldCharType="begin"/>
    </w:r>
    <w:r w:rsidRPr="000F606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0F6066">
      <w:rPr>
        <w:rStyle w:val="PageNumber"/>
        <w:rFonts w:ascii="Arial" w:hAnsi="Arial" w:cs="Arial"/>
        <w:sz w:val="20"/>
        <w:szCs w:val="20"/>
      </w:rPr>
      <w:fldChar w:fldCharType="separate"/>
    </w:r>
    <w:r w:rsidR="00AD2752">
      <w:rPr>
        <w:rStyle w:val="PageNumber"/>
        <w:rFonts w:ascii="Arial" w:hAnsi="Arial" w:cs="Arial"/>
        <w:noProof/>
        <w:sz w:val="20"/>
        <w:szCs w:val="20"/>
      </w:rPr>
      <w:t>3</w:t>
    </w:r>
    <w:r w:rsidRPr="000F6066">
      <w:rPr>
        <w:rStyle w:val="PageNumber"/>
        <w:rFonts w:ascii="Arial" w:hAnsi="Arial" w:cs="Arial"/>
        <w:sz w:val="20"/>
        <w:szCs w:val="20"/>
      </w:rPr>
      <w:fldChar w:fldCharType="end"/>
    </w:r>
  </w:p>
  <w:p w14:paraId="13933442" w14:textId="77777777" w:rsidR="00392407" w:rsidRDefault="0039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D8BF" w14:textId="77777777" w:rsidR="00436A51" w:rsidRDefault="00436A51">
      <w:r>
        <w:separator/>
      </w:r>
    </w:p>
  </w:footnote>
  <w:footnote w:type="continuationSeparator" w:id="0">
    <w:p w14:paraId="6A8E5E6D" w14:textId="77777777" w:rsidR="00436A51" w:rsidRDefault="0043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61E"/>
    <w:multiLevelType w:val="multilevel"/>
    <w:tmpl w:val="F17CB24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8D32D5B"/>
    <w:multiLevelType w:val="multilevel"/>
    <w:tmpl w:val="B8AA079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24C33D7"/>
    <w:multiLevelType w:val="multilevel"/>
    <w:tmpl w:val="C4BCEC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3E60ED0"/>
    <w:multiLevelType w:val="multilevel"/>
    <w:tmpl w:val="3A74E7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AB71E61"/>
    <w:multiLevelType w:val="multilevel"/>
    <w:tmpl w:val="EFD0930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BA00ECB"/>
    <w:multiLevelType w:val="multilevel"/>
    <w:tmpl w:val="5956B208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0AA64D4"/>
    <w:multiLevelType w:val="multilevel"/>
    <w:tmpl w:val="5956B208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28C7F30"/>
    <w:multiLevelType w:val="multilevel"/>
    <w:tmpl w:val="1AD488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5207CF2"/>
    <w:multiLevelType w:val="multilevel"/>
    <w:tmpl w:val="6096CDF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5A61409"/>
    <w:multiLevelType w:val="multilevel"/>
    <w:tmpl w:val="5E5A1A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78A14AA"/>
    <w:multiLevelType w:val="hybridMultilevel"/>
    <w:tmpl w:val="E8824A98"/>
    <w:lvl w:ilvl="0" w:tplc="EAD6C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40D6B"/>
    <w:multiLevelType w:val="multilevel"/>
    <w:tmpl w:val="E0F2212C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866657C"/>
    <w:multiLevelType w:val="multilevel"/>
    <w:tmpl w:val="459E2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701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8C06F3E"/>
    <w:multiLevelType w:val="multilevel"/>
    <w:tmpl w:val="9A7031D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F4E5FDE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83A1809"/>
    <w:multiLevelType w:val="multilevel"/>
    <w:tmpl w:val="92C663D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0336D80"/>
    <w:multiLevelType w:val="multilevel"/>
    <w:tmpl w:val="644C3F3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1100B6F"/>
    <w:multiLevelType w:val="multilevel"/>
    <w:tmpl w:val="E5604F4A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2716DB1"/>
    <w:multiLevelType w:val="multilevel"/>
    <w:tmpl w:val="6396CA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65A727E"/>
    <w:multiLevelType w:val="multilevel"/>
    <w:tmpl w:val="81F04F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316403"/>
    <w:multiLevelType w:val="multilevel"/>
    <w:tmpl w:val="60D44000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985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C34748A"/>
    <w:multiLevelType w:val="multilevel"/>
    <w:tmpl w:val="8278AB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D610C3D"/>
    <w:multiLevelType w:val="multilevel"/>
    <w:tmpl w:val="7248937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1F71F7B"/>
    <w:multiLevelType w:val="multilevel"/>
    <w:tmpl w:val="EA5450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4A3097"/>
    <w:multiLevelType w:val="multilevel"/>
    <w:tmpl w:val="501A7AB2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985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9315735"/>
    <w:multiLevelType w:val="multilevel"/>
    <w:tmpl w:val="ACC2FA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6C717607"/>
    <w:multiLevelType w:val="multilevel"/>
    <w:tmpl w:val="07A0F5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72EC122D"/>
    <w:multiLevelType w:val="multilevel"/>
    <w:tmpl w:val="6D548B0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12514301">
    <w:abstractNumId w:val="21"/>
  </w:num>
  <w:num w:numId="2" w16cid:durableId="979728492">
    <w:abstractNumId w:val="10"/>
  </w:num>
  <w:num w:numId="3" w16cid:durableId="340082355">
    <w:abstractNumId w:val="14"/>
  </w:num>
  <w:num w:numId="4" w16cid:durableId="373315865">
    <w:abstractNumId w:val="12"/>
  </w:num>
  <w:num w:numId="5" w16cid:durableId="1688604423">
    <w:abstractNumId w:val="24"/>
  </w:num>
  <w:num w:numId="6" w16cid:durableId="1081559697">
    <w:abstractNumId w:val="20"/>
  </w:num>
  <w:num w:numId="7" w16cid:durableId="1598169877">
    <w:abstractNumId w:val="8"/>
  </w:num>
  <w:num w:numId="8" w16cid:durableId="457647705">
    <w:abstractNumId w:val="6"/>
  </w:num>
  <w:num w:numId="9" w16cid:durableId="1797020488">
    <w:abstractNumId w:val="5"/>
  </w:num>
  <w:num w:numId="10" w16cid:durableId="496507070">
    <w:abstractNumId w:val="17"/>
  </w:num>
  <w:num w:numId="11" w16cid:durableId="1692409732">
    <w:abstractNumId w:val="11"/>
  </w:num>
  <w:num w:numId="12" w16cid:durableId="1036464645">
    <w:abstractNumId w:val="27"/>
  </w:num>
  <w:num w:numId="13" w16cid:durableId="377819546">
    <w:abstractNumId w:val="1"/>
  </w:num>
  <w:num w:numId="14" w16cid:durableId="1948538305">
    <w:abstractNumId w:val="26"/>
  </w:num>
  <w:num w:numId="15" w16cid:durableId="245651041">
    <w:abstractNumId w:val="4"/>
  </w:num>
  <w:num w:numId="16" w16cid:durableId="312607860">
    <w:abstractNumId w:val="25"/>
  </w:num>
  <w:num w:numId="17" w16cid:durableId="292322640">
    <w:abstractNumId w:val="16"/>
  </w:num>
  <w:num w:numId="18" w16cid:durableId="761491896">
    <w:abstractNumId w:val="15"/>
  </w:num>
  <w:num w:numId="19" w16cid:durableId="1725517622">
    <w:abstractNumId w:val="13"/>
  </w:num>
  <w:num w:numId="20" w16cid:durableId="259068382">
    <w:abstractNumId w:val="9"/>
  </w:num>
  <w:num w:numId="21" w16cid:durableId="541021653">
    <w:abstractNumId w:val="7"/>
  </w:num>
  <w:num w:numId="22" w16cid:durableId="374429558">
    <w:abstractNumId w:val="19"/>
  </w:num>
  <w:num w:numId="23" w16cid:durableId="447890427">
    <w:abstractNumId w:val="23"/>
  </w:num>
  <w:num w:numId="24" w16cid:durableId="1059010592">
    <w:abstractNumId w:val="22"/>
  </w:num>
  <w:num w:numId="25" w16cid:durableId="1904095018">
    <w:abstractNumId w:val="3"/>
  </w:num>
  <w:num w:numId="26" w16cid:durableId="424962162">
    <w:abstractNumId w:val="18"/>
  </w:num>
  <w:num w:numId="27" w16cid:durableId="584652686">
    <w:abstractNumId w:val="0"/>
  </w:num>
  <w:num w:numId="28" w16cid:durableId="1663854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3E0"/>
    <w:rsid w:val="000347DE"/>
    <w:rsid w:val="000F6066"/>
    <w:rsid w:val="00373AEF"/>
    <w:rsid w:val="00392407"/>
    <w:rsid w:val="00436A51"/>
    <w:rsid w:val="00486A9D"/>
    <w:rsid w:val="00517C3D"/>
    <w:rsid w:val="00594618"/>
    <w:rsid w:val="00654695"/>
    <w:rsid w:val="00656E6E"/>
    <w:rsid w:val="006C4C13"/>
    <w:rsid w:val="006D59F2"/>
    <w:rsid w:val="00757345"/>
    <w:rsid w:val="00791671"/>
    <w:rsid w:val="00796A90"/>
    <w:rsid w:val="007C758E"/>
    <w:rsid w:val="007E552C"/>
    <w:rsid w:val="008A791B"/>
    <w:rsid w:val="008B5EA6"/>
    <w:rsid w:val="008E603C"/>
    <w:rsid w:val="00933C78"/>
    <w:rsid w:val="00970065"/>
    <w:rsid w:val="009A6E98"/>
    <w:rsid w:val="00A31CA3"/>
    <w:rsid w:val="00A80FE1"/>
    <w:rsid w:val="00AD2752"/>
    <w:rsid w:val="00AD2853"/>
    <w:rsid w:val="00AF5B23"/>
    <w:rsid w:val="00B913E0"/>
    <w:rsid w:val="00BF170E"/>
    <w:rsid w:val="00C117F6"/>
    <w:rsid w:val="00C436A5"/>
    <w:rsid w:val="00CB47AF"/>
    <w:rsid w:val="00D12653"/>
    <w:rsid w:val="00D51BCD"/>
    <w:rsid w:val="00D93111"/>
    <w:rsid w:val="00DB7A37"/>
    <w:rsid w:val="00DD1D5D"/>
    <w:rsid w:val="00E53E2F"/>
    <w:rsid w:val="00E67923"/>
    <w:rsid w:val="00EA694D"/>
    <w:rsid w:val="00ED7F8A"/>
    <w:rsid w:val="00EE56A6"/>
    <w:rsid w:val="00F01666"/>
    <w:rsid w:val="00F3536A"/>
    <w:rsid w:val="00F53DDB"/>
    <w:rsid w:val="00F712AC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E012EFD"/>
  <w15:chartTrackingRefBased/>
  <w15:docId w15:val="{2388AFC5-BBA2-4FA9-B62C-5499DF97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D7F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7F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6066"/>
  </w:style>
  <w:style w:type="paragraph" w:styleId="BalloonText">
    <w:name w:val="Balloon Text"/>
    <w:basedOn w:val="Normal"/>
    <w:semiHidden/>
    <w:rsid w:val="00517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6D6D7DDA83F43A53E42E8E0FC9A02" ma:contentTypeVersion="15" ma:contentTypeDescription="Create a new document." ma:contentTypeScope="" ma:versionID="caf780e8e6f1367b16ed5ee22b2a1c56">
  <xsd:schema xmlns:xsd="http://www.w3.org/2001/XMLSchema" xmlns:xs="http://www.w3.org/2001/XMLSchema" xmlns:p="http://schemas.microsoft.com/office/2006/metadata/properties" xmlns:ns2="7901feec-eacc-46df-af7a-a793c8ad0f18" xmlns:ns3="51198b09-73dd-4d47-ad90-70871e9d42e7" targetNamespace="http://schemas.microsoft.com/office/2006/metadata/properties" ma:root="true" ma:fieldsID="c12fb6bbdea18653a230dfed84f34d4f" ns2:_="" ns3:_="">
    <xsd:import namespace="7901feec-eacc-46df-af7a-a793c8ad0f18"/>
    <xsd:import namespace="51198b09-73dd-4d47-ad90-70871e9d4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feec-eacc-46df-af7a-a793c8ad0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2b8d51-a6d0-4db3-a8f4-2d4bd1c6e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98b09-73dd-4d47-ad90-70871e9d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d56900-bb78-4880-a4c0-533bcc0aa403}" ma:internalName="TaxCatchAll" ma:showField="CatchAllData" ma:web="51198b09-73dd-4d47-ad90-70871e9d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1feec-eacc-46df-af7a-a793c8ad0f18">
      <Terms xmlns="http://schemas.microsoft.com/office/infopath/2007/PartnerControls"/>
    </lcf76f155ced4ddcb4097134ff3c332f>
    <TaxCatchAll xmlns="51198b09-73dd-4d47-ad90-70871e9d42e7" xsi:nil="true"/>
  </documentManagement>
</p:properties>
</file>

<file path=customXml/itemProps1.xml><?xml version="1.0" encoding="utf-8"?>
<ds:datastoreItem xmlns:ds="http://schemas.openxmlformats.org/officeDocument/2006/customXml" ds:itemID="{CC6EEB23-14B3-4D42-B9C9-75EC6D8AA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5572-858F-4136-A902-44A382AA48C9}"/>
</file>

<file path=customXml/itemProps3.xml><?xml version="1.0" encoding="utf-8"?>
<ds:datastoreItem xmlns:ds="http://schemas.openxmlformats.org/officeDocument/2006/customXml" ds:itemID="{201E3E31-BDF6-44EF-A95C-B8166D198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COMPENSATION FOR</vt:lpstr>
    </vt:vector>
  </TitlesOfParts>
  <Company>MIAA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COMPENSATION FOR</dc:title>
  <dc:subject/>
  <dc:creator>Cliff Spong</dc:creator>
  <cp:keywords/>
  <cp:lastModifiedBy>Neina Fahey</cp:lastModifiedBy>
  <cp:revision>2</cp:revision>
  <cp:lastPrinted>2010-04-12T02:20:00Z</cp:lastPrinted>
  <dcterms:created xsi:type="dcterms:W3CDTF">2022-06-24T04:02:00Z</dcterms:created>
  <dcterms:modified xsi:type="dcterms:W3CDTF">2022-06-24T04:02:00Z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0x010100B676D6D7DDA83F43A53E42E8E0FC9A02</vt:lpwstr>
  </property>
</Properties>
</file>